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6F8BABE" w14:textId="77777777" w:rsidR="004A3F14" w:rsidRPr="002813C6" w:rsidRDefault="00420EED">
      <w:pPr>
        <w:jc w:val="center"/>
        <w:rPr>
          <w:sz w:val="36"/>
        </w:rPr>
      </w:pPr>
      <w:r w:rsidRPr="002813C6">
        <w:rPr>
          <w:b/>
          <w:sz w:val="36"/>
        </w:rPr>
        <w:t>VITA BASIC TRAINING ANSWER</w:t>
      </w:r>
    </w:p>
    <w:p w14:paraId="0F20BAC2" w14:textId="77777777" w:rsidR="004A3F14" w:rsidRPr="002813C6" w:rsidRDefault="00420EED">
      <w:pPr>
        <w:jc w:val="center"/>
      </w:pPr>
      <w:r w:rsidRPr="002813C6">
        <w:rPr>
          <w:b/>
        </w:rPr>
        <w:t>OVERVIEW OF FEDERAL TAXATION</w:t>
      </w:r>
    </w:p>
    <w:p w14:paraId="75A94CA3" w14:textId="77777777" w:rsidR="004A3F14" w:rsidRPr="002813C6" w:rsidRDefault="004A3F14">
      <w:pPr>
        <w:jc w:val="center"/>
      </w:pPr>
    </w:p>
    <w:p w14:paraId="7AEDF0D6" w14:textId="77777777" w:rsidR="004A3F14" w:rsidRPr="002813C6" w:rsidRDefault="00420EED">
      <w:pPr>
        <w:jc w:val="both"/>
      </w:pPr>
      <w:r w:rsidRPr="002813C6">
        <w:rPr>
          <w:b/>
        </w:rPr>
        <w:t>EXAMPLE 1:</w:t>
      </w:r>
      <w:r w:rsidRPr="002813C6">
        <w:t xml:space="preserve"> Sheldon Cooper’s filing status is si</w:t>
      </w:r>
      <w:r w:rsidR="00CD4635">
        <w:t>ngle with no dependents. In 2016</w:t>
      </w:r>
      <w:r w:rsidRPr="002813C6">
        <w:t xml:space="preserve">, he had salary income of $70,000 and municipal bond interest income of $300. He made a $500 contribution to IRA, paid property taxes of $ 1,000, made a charitable contribution of $900, and paid state income tax of $8,000. </w:t>
      </w:r>
    </w:p>
    <w:p w14:paraId="153D4A0A" w14:textId="77777777" w:rsidR="004A3F14" w:rsidRPr="002813C6" w:rsidRDefault="00420EED">
      <w:pPr>
        <w:numPr>
          <w:ilvl w:val="0"/>
          <w:numId w:val="4"/>
        </w:numPr>
        <w:ind w:left="1080" w:hanging="360"/>
        <w:jc w:val="both"/>
      </w:pPr>
      <w:r w:rsidRPr="002813C6">
        <w:t xml:space="preserve">What is his </w:t>
      </w:r>
      <w:r w:rsidR="00CD4635">
        <w:t>taxable income for the year 2016</w:t>
      </w:r>
      <w:r w:rsidRPr="002813C6">
        <w:t xml:space="preserve">? </w:t>
      </w:r>
    </w:p>
    <w:p w14:paraId="6B4E24B1" w14:textId="77777777" w:rsidR="004A3F14" w:rsidRPr="002813C6" w:rsidRDefault="00420EED">
      <w:pPr>
        <w:ind w:left="720"/>
        <w:jc w:val="both"/>
      </w:pPr>
      <w:r w:rsidRPr="002813C6">
        <w:rPr>
          <w:i/>
        </w:rPr>
        <w:t>Municipal bond interest is not taxable</w:t>
      </w:r>
      <w:r w:rsidR="002813C6">
        <w:rPr>
          <w:i/>
        </w:rPr>
        <w:t xml:space="preserve"> so it is excluded from gross income. Contribution to IRA is a “for” AGI deduction</w:t>
      </w:r>
      <w:r w:rsidRPr="002813C6">
        <w:rPr>
          <w:i/>
        </w:rPr>
        <w:t>, therefore his AGI is:</w:t>
      </w:r>
    </w:p>
    <w:tbl>
      <w:tblPr>
        <w:tblStyle w:val="a"/>
        <w:tblW w:w="4941" w:type="dxa"/>
        <w:tblInd w:w="2187" w:type="dxa"/>
        <w:tblLayout w:type="fixed"/>
        <w:tblLook w:val="0000" w:firstRow="0" w:lastRow="0" w:firstColumn="0" w:lastColumn="0" w:noHBand="0" w:noVBand="0"/>
      </w:tblPr>
      <w:tblGrid>
        <w:gridCol w:w="3229"/>
        <w:gridCol w:w="1712"/>
      </w:tblGrid>
      <w:tr w:rsidR="004A3F14" w:rsidRPr="002813C6" w14:paraId="534C6F10" w14:textId="77777777" w:rsidTr="002813C6">
        <w:trPr>
          <w:trHeight w:val="340"/>
        </w:trPr>
        <w:tc>
          <w:tcPr>
            <w:tcW w:w="3229" w:type="dxa"/>
            <w:tcBorders>
              <w:top w:val="nil"/>
              <w:left w:val="nil"/>
              <w:right w:val="nil"/>
            </w:tcBorders>
          </w:tcPr>
          <w:p w14:paraId="2FE289F2" w14:textId="77777777" w:rsidR="004A3F14" w:rsidRPr="002813C6" w:rsidRDefault="00420EED">
            <w:r w:rsidRPr="002813C6">
              <w:rPr>
                <w:i/>
              </w:rPr>
              <w:t xml:space="preserve">Salary Income </w:t>
            </w:r>
          </w:p>
        </w:tc>
        <w:tc>
          <w:tcPr>
            <w:tcW w:w="1712" w:type="dxa"/>
            <w:tcBorders>
              <w:top w:val="nil"/>
              <w:left w:val="nil"/>
              <w:right w:val="nil"/>
            </w:tcBorders>
          </w:tcPr>
          <w:p w14:paraId="20D2D545" w14:textId="77777777" w:rsidR="004A3F14" w:rsidRPr="002813C6" w:rsidRDefault="00420EED">
            <w:r w:rsidRPr="002813C6">
              <w:rPr>
                <w:i/>
              </w:rPr>
              <w:t xml:space="preserve"> $      70,000 </w:t>
            </w:r>
          </w:p>
        </w:tc>
      </w:tr>
      <w:tr w:rsidR="004A3F14" w:rsidRPr="002813C6" w14:paraId="6D43A6D8" w14:textId="77777777" w:rsidTr="002813C6">
        <w:trPr>
          <w:trHeight w:val="340"/>
        </w:trPr>
        <w:tc>
          <w:tcPr>
            <w:tcW w:w="3229" w:type="dxa"/>
            <w:tcBorders>
              <w:top w:val="nil"/>
              <w:left w:val="nil"/>
              <w:bottom w:val="single" w:sz="4" w:space="0" w:color="auto"/>
              <w:right w:val="nil"/>
            </w:tcBorders>
          </w:tcPr>
          <w:p w14:paraId="364D9F17" w14:textId="77777777" w:rsidR="004A3F14" w:rsidRPr="002813C6" w:rsidRDefault="00420EED">
            <w:r w:rsidRPr="002813C6">
              <w:rPr>
                <w:i/>
              </w:rPr>
              <w:t>Minus: Contribution to IRA</w:t>
            </w:r>
          </w:p>
        </w:tc>
        <w:tc>
          <w:tcPr>
            <w:tcW w:w="1712" w:type="dxa"/>
            <w:tcBorders>
              <w:top w:val="nil"/>
              <w:left w:val="nil"/>
              <w:bottom w:val="single" w:sz="4" w:space="0" w:color="auto"/>
              <w:right w:val="nil"/>
            </w:tcBorders>
          </w:tcPr>
          <w:p w14:paraId="5ADD0CDF" w14:textId="77777777" w:rsidR="004A3F14" w:rsidRPr="002813C6" w:rsidRDefault="00420EED">
            <w:r w:rsidRPr="002813C6">
              <w:rPr>
                <w:i/>
              </w:rPr>
              <w:t xml:space="preserve"> $          500 </w:t>
            </w:r>
          </w:p>
        </w:tc>
      </w:tr>
      <w:tr w:rsidR="004A3F14" w:rsidRPr="002813C6" w14:paraId="21B67FD3" w14:textId="77777777" w:rsidTr="002813C6">
        <w:trPr>
          <w:trHeight w:val="340"/>
        </w:trPr>
        <w:tc>
          <w:tcPr>
            <w:tcW w:w="3229" w:type="dxa"/>
            <w:tcBorders>
              <w:top w:val="single" w:sz="4" w:space="0" w:color="auto"/>
              <w:left w:val="nil"/>
              <w:bottom w:val="nil"/>
              <w:right w:val="nil"/>
            </w:tcBorders>
          </w:tcPr>
          <w:p w14:paraId="57649285" w14:textId="77777777" w:rsidR="004A3F14" w:rsidRPr="002813C6" w:rsidRDefault="00420EED">
            <w:r w:rsidRPr="002813C6">
              <w:rPr>
                <w:i/>
              </w:rPr>
              <w:t xml:space="preserve">AGI </w:t>
            </w:r>
          </w:p>
        </w:tc>
        <w:tc>
          <w:tcPr>
            <w:tcW w:w="1712" w:type="dxa"/>
            <w:tcBorders>
              <w:top w:val="single" w:sz="4" w:space="0" w:color="auto"/>
              <w:left w:val="nil"/>
              <w:bottom w:val="nil"/>
              <w:right w:val="nil"/>
            </w:tcBorders>
          </w:tcPr>
          <w:p w14:paraId="4855E171" w14:textId="77777777" w:rsidR="004A3F14" w:rsidRPr="002813C6" w:rsidRDefault="00420EED">
            <w:r w:rsidRPr="002813C6">
              <w:rPr>
                <w:i/>
              </w:rPr>
              <w:t xml:space="preserve"> $      69,500 </w:t>
            </w:r>
          </w:p>
        </w:tc>
      </w:tr>
    </w:tbl>
    <w:p w14:paraId="715277F9" w14:textId="77777777" w:rsidR="004A3F14" w:rsidRPr="002813C6" w:rsidRDefault="004A3F14">
      <w:pPr>
        <w:jc w:val="both"/>
      </w:pPr>
    </w:p>
    <w:p w14:paraId="03D17FC0" w14:textId="77777777" w:rsidR="004A3F14" w:rsidRPr="002813C6" w:rsidRDefault="00420EED">
      <w:pPr>
        <w:ind w:left="720"/>
        <w:jc w:val="both"/>
      </w:pPr>
      <w:r w:rsidRPr="002813C6">
        <w:rPr>
          <w:i/>
        </w:rPr>
        <w:t xml:space="preserve">Property taxes paid, charitable contribution, and state income tax paid are all itemized deductions. </w:t>
      </w:r>
      <w:r w:rsidR="002813C6" w:rsidRPr="002813C6">
        <w:rPr>
          <w:i/>
        </w:rPr>
        <w:t>Therefore,</w:t>
      </w:r>
      <w:r w:rsidRPr="002813C6">
        <w:rPr>
          <w:i/>
        </w:rPr>
        <w:t xml:space="preserve"> his itemized deduction is:</w:t>
      </w:r>
    </w:p>
    <w:tbl>
      <w:tblPr>
        <w:tblStyle w:val="a0"/>
        <w:tblW w:w="4896" w:type="dxa"/>
        <w:tblInd w:w="2232" w:type="dxa"/>
        <w:tblLayout w:type="fixed"/>
        <w:tblLook w:val="0000" w:firstRow="0" w:lastRow="0" w:firstColumn="0" w:lastColumn="0" w:noHBand="0" w:noVBand="0"/>
      </w:tblPr>
      <w:tblGrid>
        <w:gridCol w:w="3325"/>
        <w:gridCol w:w="1571"/>
      </w:tblGrid>
      <w:tr w:rsidR="004A3F14" w:rsidRPr="002813C6" w14:paraId="1A462DAA" w14:textId="77777777" w:rsidTr="002813C6">
        <w:trPr>
          <w:trHeight w:val="300"/>
        </w:trPr>
        <w:tc>
          <w:tcPr>
            <w:tcW w:w="3325" w:type="dxa"/>
            <w:tcBorders>
              <w:top w:val="nil"/>
              <w:left w:val="nil"/>
              <w:bottom w:val="nil"/>
              <w:right w:val="nil"/>
            </w:tcBorders>
          </w:tcPr>
          <w:p w14:paraId="171E98A2" w14:textId="77777777" w:rsidR="004A3F14" w:rsidRPr="002813C6" w:rsidRDefault="00420EED">
            <w:r w:rsidRPr="002813C6">
              <w:rPr>
                <w:i/>
              </w:rPr>
              <w:t xml:space="preserve">Property Taxes Paid </w:t>
            </w:r>
          </w:p>
        </w:tc>
        <w:tc>
          <w:tcPr>
            <w:tcW w:w="1571" w:type="dxa"/>
            <w:tcBorders>
              <w:top w:val="nil"/>
              <w:left w:val="nil"/>
              <w:bottom w:val="nil"/>
              <w:right w:val="nil"/>
            </w:tcBorders>
          </w:tcPr>
          <w:p w14:paraId="0BD234F4" w14:textId="77777777" w:rsidR="004A3F14" w:rsidRPr="002813C6" w:rsidRDefault="00420EED">
            <w:r w:rsidRPr="002813C6">
              <w:rPr>
                <w:i/>
              </w:rPr>
              <w:t xml:space="preserve"> $        1,000 </w:t>
            </w:r>
          </w:p>
        </w:tc>
      </w:tr>
      <w:tr w:rsidR="004A3F14" w:rsidRPr="002813C6" w14:paraId="15ACA332" w14:textId="77777777" w:rsidTr="002813C6">
        <w:trPr>
          <w:trHeight w:val="300"/>
        </w:trPr>
        <w:tc>
          <w:tcPr>
            <w:tcW w:w="3325" w:type="dxa"/>
            <w:tcBorders>
              <w:top w:val="nil"/>
              <w:left w:val="nil"/>
              <w:bottom w:val="nil"/>
              <w:right w:val="nil"/>
            </w:tcBorders>
          </w:tcPr>
          <w:p w14:paraId="11528F01" w14:textId="77777777" w:rsidR="004A3F14" w:rsidRPr="002813C6" w:rsidRDefault="00420EED">
            <w:r w:rsidRPr="002813C6">
              <w:rPr>
                <w:i/>
              </w:rPr>
              <w:t>Plus: Charitable Contribution</w:t>
            </w:r>
          </w:p>
        </w:tc>
        <w:tc>
          <w:tcPr>
            <w:tcW w:w="1571" w:type="dxa"/>
            <w:tcBorders>
              <w:top w:val="nil"/>
              <w:left w:val="nil"/>
              <w:bottom w:val="nil"/>
              <w:right w:val="nil"/>
            </w:tcBorders>
          </w:tcPr>
          <w:p w14:paraId="2744CE57" w14:textId="77777777" w:rsidR="004A3F14" w:rsidRPr="002813C6" w:rsidRDefault="00420EED">
            <w:r w:rsidRPr="002813C6">
              <w:rPr>
                <w:i/>
              </w:rPr>
              <w:t xml:space="preserve"> $           900 </w:t>
            </w:r>
          </w:p>
        </w:tc>
      </w:tr>
      <w:tr w:rsidR="004A3F14" w:rsidRPr="002813C6" w14:paraId="10DADE9C" w14:textId="77777777" w:rsidTr="002813C6">
        <w:trPr>
          <w:trHeight w:val="300"/>
        </w:trPr>
        <w:tc>
          <w:tcPr>
            <w:tcW w:w="3325" w:type="dxa"/>
            <w:tcBorders>
              <w:top w:val="nil"/>
              <w:left w:val="nil"/>
              <w:bottom w:val="nil"/>
              <w:right w:val="nil"/>
            </w:tcBorders>
          </w:tcPr>
          <w:p w14:paraId="1AFD6280" w14:textId="77777777" w:rsidR="004A3F14" w:rsidRPr="002813C6" w:rsidRDefault="00420EED">
            <w:r w:rsidRPr="002813C6">
              <w:rPr>
                <w:i/>
              </w:rPr>
              <w:t>Plus: State Income Tax</w:t>
            </w:r>
          </w:p>
        </w:tc>
        <w:tc>
          <w:tcPr>
            <w:tcW w:w="1571" w:type="dxa"/>
            <w:tcBorders>
              <w:top w:val="nil"/>
              <w:left w:val="nil"/>
              <w:bottom w:val="single" w:sz="4" w:space="0" w:color="000000"/>
              <w:right w:val="nil"/>
            </w:tcBorders>
          </w:tcPr>
          <w:p w14:paraId="05B877DC" w14:textId="77777777" w:rsidR="004A3F14" w:rsidRPr="002813C6" w:rsidRDefault="00420EED">
            <w:r w:rsidRPr="002813C6">
              <w:rPr>
                <w:i/>
              </w:rPr>
              <w:t xml:space="preserve"> $        8,000 </w:t>
            </w:r>
          </w:p>
        </w:tc>
      </w:tr>
      <w:tr w:rsidR="004A3F14" w:rsidRPr="002813C6" w14:paraId="0584D682" w14:textId="77777777" w:rsidTr="002813C6">
        <w:trPr>
          <w:trHeight w:val="300"/>
        </w:trPr>
        <w:tc>
          <w:tcPr>
            <w:tcW w:w="3325" w:type="dxa"/>
            <w:tcBorders>
              <w:top w:val="nil"/>
              <w:left w:val="nil"/>
              <w:bottom w:val="nil"/>
              <w:right w:val="nil"/>
            </w:tcBorders>
          </w:tcPr>
          <w:p w14:paraId="379AB62D" w14:textId="77777777" w:rsidR="004A3F14" w:rsidRPr="002813C6" w:rsidRDefault="00420EED">
            <w:r w:rsidRPr="002813C6">
              <w:rPr>
                <w:i/>
              </w:rPr>
              <w:t>Total Itemized Deduction</w:t>
            </w:r>
          </w:p>
        </w:tc>
        <w:tc>
          <w:tcPr>
            <w:tcW w:w="1571" w:type="dxa"/>
            <w:tcBorders>
              <w:top w:val="nil"/>
              <w:left w:val="nil"/>
              <w:bottom w:val="nil"/>
              <w:right w:val="nil"/>
            </w:tcBorders>
          </w:tcPr>
          <w:p w14:paraId="454BBC55" w14:textId="77777777" w:rsidR="004A3F14" w:rsidRPr="002813C6" w:rsidRDefault="00420EED">
            <w:r w:rsidRPr="002813C6">
              <w:rPr>
                <w:i/>
              </w:rPr>
              <w:t xml:space="preserve"> $        9,900 </w:t>
            </w:r>
          </w:p>
        </w:tc>
      </w:tr>
    </w:tbl>
    <w:p w14:paraId="5425F398" w14:textId="77777777" w:rsidR="002813C6" w:rsidRDefault="002813C6">
      <w:pPr>
        <w:jc w:val="both"/>
        <w:rPr>
          <w:i/>
        </w:rPr>
      </w:pPr>
    </w:p>
    <w:p w14:paraId="4EFEFB2A" w14:textId="3670D934" w:rsidR="004A3F14" w:rsidRPr="002813C6" w:rsidRDefault="002813C6">
      <w:pPr>
        <w:jc w:val="both"/>
      </w:pPr>
      <w:r>
        <w:rPr>
          <w:i/>
        </w:rPr>
        <w:tab/>
      </w:r>
      <w:r w:rsidR="007B491E">
        <w:rPr>
          <w:i/>
        </w:rPr>
        <w:t>$9,9</w:t>
      </w:r>
      <w:bookmarkStart w:id="0" w:name="_GoBack"/>
      <w:bookmarkEnd w:id="0"/>
      <w:r w:rsidRPr="002813C6">
        <w:rPr>
          <w:i/>
        </w:rPr>
        <w:t>00 &gt; $6,300 (Standard deduction for single person)</w:t>
      </w:r>
      <w:r w:rsidR="00420EED" w:rsidRPr="002813C6">
        <w:rPr>
          <w:i/>
        </w:rPr>
        <w:tab/>
      </w:r>
    </w:p>
    <w:p w14:paraId="26F65825" w14:textId="77777777" w:rsidR="002813C6" w:rsidRDefault="002813C6">
      <w:pPr>
        <w:ind w:left="720"/>
        <w:jc w:val="both"/>
        <w:rPr>
          <w:i/>
        </w:rPr>
      </w:pPr>
    </w:p>
    <w:p w14:paraId="53A04DC5" w14:textId="77777777" w:rsidR="004A3F14" w:rsidRPr="002813C6" w:rsidRDefault="002813C6">
      <w:pPr>
        <w:ind w:left="720"/>
        <w:jc w:val="both"/>
      </w:pPr>
      <w:r w:rsidRPr="002813C6">
        <w:rPr>
          <w:i/>
        </w:rPr>
        <w:t>Therefore,</w:t>
      </w:r>
      <w:r w:rsidR="00420EED" w:rsidRPr="002813C6">
        <w:rPr>
          <w:i/>
        </w:rPr>
        <w:t xml:space="preserve"> he will choose to use itemized deduction instead of standard deduction, and his taxable income is:</w:t>
      </w:r>
    </w:p>
    <w:p w14:paraId="47D45F99" w14:textId="77777777" w:rsidR="004A3F14" w:rsidRDefault="00CD4635">
      <w:pPr>
        <w:jc w:val="both"/>
      </w:pPr>
      <w:r>
        <w:tab/>
      </w:r>
      <w:r>
        <w:tab/>
      </w:r>
    </w:p>
    <w:p w14:paraId="3964530A" w14:textId="198671C9" w:rsidR="00CD4635" w:rsidRDefault="00CD4635">
      <w:pPr>
        <w:jc w:val="both"/>
      </w:pPr>
      <w:r>
        <w:t xml:space="preserve">                             </w:t>
      </w:r>
      <w:r w:rsidR="00024D38">
        <w:t xml:space="preserve">    </w:t>
      </w:r>
      <w:r>
        <w:t xml:space="preserve">    </w:t>
      </w:r>
      <w:r w:rsidR="00024D38" w:rsidRPr="00024D38">
        <w:rPr>
          <w:noProof/>
        </w:rPr>
        <w:drawing>
          <wp:inline distT="0" distB="0" distL="0" distR="0" wp14:anchorId="6F165A9C" wp14:editId="7DB7012E">
            <wp:extent cx="2935840" cy="699145"/>
            <wp:effectExtent l="0" t="0" r="10795" b="12065"/>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7"/>
                    <a:stretch>
                      <a:fillRect/>
                    </a:stretch>
                  </pic:blipFill>
                  <pic:spPr>
                    <a:xfrm>
                      <a:off x="0" y="0"/>
                      <a:ext cx="2939366" cy="699985"/>
                    </a:xfrm>
                    <a:prstGeom prst="rect">
                      <a:avLst/>
                    </a:prstGeom>
                  </pic:spPr>
                </pic:pic>
              </a:graphicData>
            </a:graphic>
          </wp:inline>
        </w:drawing>
      </w:r>
    </w:p>
    <w:p w14:paraId="58D27408" w14:textId="77777777" w:rsidR="00CD4635" w:rsidRPr="002813C6" w:rsidRDefault="00CD4635">
      <w:pPr>
        <w:jc w:val="both"/>
      </w:pPr>
    </w:p>
    <w:p w14:paraId="1CBA4919" w14:textId="77777777" w:rsidR="004A3F14" w:rsidRPr="002813C6" w:rsidRDefault="00420EED">
      <w:pPr>
        <w:numPr>
          <w:ilvl w:val="0"/>
          <w:numId w:val="4"/>
        </w:numPr>
        <w:ind w:left="1080" w:hanging="360"/>
        <w:jc w:val="both"/>
      </w:pPr>
      <w:r w:rsidRPr="002813C6">
        <w:t>Suppose state income tax paid is $2,000, wh</w:t>
      </w:r>
      <w:r w:rsidR="00CD4635">
        <w:t>at’s his taxable income for 2016</w:t>
      </w:r>
      <w:r w:rsidRPr="002813C6">
        <w:t>?</w:t>
      </w:r>
    </w:p>
    <w:p w14:paraId="31931707" w14:textId="77777777" w:rsidR="004A3F14" w:rsidRPr="002813C6" w:rsidRDefault="00420EED">
      <w:pPr>
        <w:ind w:firstLine="720"/>
        <w:jc w:val="both"/>
      </w:pPr>
      <w:r w:rsidRPr="002813C6">
        <w:rPr>
          <w:i/>
        </w:rPr>
        <w:t>His itemized deduction will now become:</w:t>
      </w:r>
    </w:p>
    <w:tbl>
      <w:tblPr>
        <w:tblStyle w:val="a2"/>
        <w:tblW w:w="5039" w:type="dxa"/>
        <w:tblInd w:w="2269" w:type="dxa"/>
        <w:tblLayout w:type="fixed"/>
        <w:tblLook w:val="0000" w:firstRow="0" w:lastRow="0" w:firstColumn="0" w:lastColumn="0" w:noHBand="0" w:noVBand="0"/>
      </w:tblPr>
      <w:tblGrid>
        <w:gridCol w:w="3271"/>
        <w:gridCol w:w="1768"/>
      </w:tblGrid>
      <w:tr w:rsidR="004A3F14" w:rsidRPr="002813C6" w14:paraId="47845EA1" w14:textId="77777777" w:rsidTr="002813C6">
        <w:trPr>
          <w:trHeight w:val="280"/>
        </w:trPr>
        <w:tc>
          <w:tcPr>
            <w:tcW w:w="3271" w:type="dxa"/>
            <w:tcBorders>
              <w:top w:val="nil"/>
              <w:left w:val="nil"/>
              <w:bottom w:val="nil"/>
              <w:right w:val="nil"/>
            </w:tcBorders>
          </w:tcPr>
          <w:p w14:paraId="72E7444D" w14:textId="77777777" w:rsidR="004A3F14" w:rsidRPr="002813C6" w:rsidRDefault="00420EED">
            <w:r w:rsidRPr="002813C6">
              <w:rPr>
                <w:i/>
              </w:rPr>
              <w:t>Property Taxes Paid</w:t>
            </w:r>
          </w:p>
        </w:tc>
        <w:tc>
          <w:tcPr>
            <w:tcW w:w="1768" w:type="dxa"/>
            <w:tcBorders>
              <w:top w:val="nil"/>
              <w:left w:val="nil"/>
              <w:bottom w:val="nil"/>
              <w:right w:val="nil"/>
            </w:tcBorders>
          </w:tcPr>
          <w:p w14:paraId="2D34393B" w14:textId="77777777" w:rsidR="004A3F14" w:rsidRPr="002813C6" w:rsidRDefault="00420EED">
            <w:r w:rsidRPr="002813C6">
              <w:rPr>
                <w:i/>
              </w:rPr>
              <w:t xml:space="preserve"> $       1,000 </w:t>
            </w:r>
          </w:p>
        </w:tc>
      </w:tr>
      <w:tr w:rsidR="004A3F14" w:rsidRPr="002813C6" w14:paraId="6EF3F648" w14:textId="77777777" w:rsidTr="002813C6">
        <w:trPr>
          <w:trHeight w:val="280"/>
        </w:trPr>
        <w:tc>
          <w:tcPr>
            <w:tcW w:w="3271" w:type="dxa"/>
            <w:tcBorders>
              <w:top w:val="nil"/>
              <w:left w:val="nil"/>
              <w:bottom w:val="nil"/>
              <w:right w:val="nil"/>
            </w:tcBorders>
          </w:tcPr>
          <w:p w14:paraId="3C2F2A4B" w14:textId="77777777" w:rsidR="004A3F14" w:rsidRPr="002813C6" w:rsidRDefault="00420EED">
            <w:r w:rsidRPr="002813C6">
              <w:rPr>
                <w:i/>
              </w:rPr>
              <w:t>Plus: Charitable Contribution</w:t>
            </w:r>
          </w:p>
        </w:tc>
        <w:tc>
          <w:tcPr>
            <w:tcW w:w="1768" w:type="dxa"/>
            <w:tcBorders>
              <w:top w:val="nil"/>
              <w:left w:val="nil"/>
              <w:bottom w:val="nil"/>
              <w:right w:val="nil"/>
            </w:tcBorders>
          </w:tcPr>
          <w:p w14:paraId="787656FC" w14:textId="77777777" w:rsidR="004A3F14" w:rsidRPr="002813C6" w:rsidRDefault="00420EED">
            <w:r w:rsidRPr="002813C6">
              <w:rPr>
                <w:i/>
              </w:rPr>
              <w:t xml:space="preserve"> $          900 </w:t>
            </w:r>
          </w:p>
        </w:tc>
      </w:tr>
      <w:tr w:rsidR="004A3F14" w:rsidRPr="002813C6" w14:paraId="778308FA" w14:textId="77777777" w:rsidTr="002813C6">
        <w:trPr>
          <w:trHeight w:val="280"/>
        </w:trPr>
        <w:tc>
          <w:tcPr>
            <w:tcW w:w="3271" w:type="dxa"/>
            <w:tcBorders>
              <w:top w:val="nil"/>
              <w:left w:val="nil"/>
              <w:bottom w:val="nil"/>
              <w:right w:val="nil"/>
            </w:tcBorders>
          </w:tcPr>
          <w:p w14:paraId="203C285C" w14:textId="77777777" w:rsidR="004A3F14" w:rsidRPr="002813C6" w:rsidRDefault="00420EED">
            <w:r w:rsidRPr="002813C6">
              <w:rPr>
                <w:i/>
              </w:rPr>
              <w:t xml:space="preserve">Plus: State Income Tax </w:t>
            </w:r>
          </w:p>
        </w:tc>
        <w:tc>
          <w:tcPr>
            <w:tcW w:w="1768" w:type="dxa"/>
            <w:tcBorders>
              <w:top w:val="nil"/>
              <w:left w:val="nil"/>
              <w:bottom w:val="single" w:sz="4" w:space="0" w:color="000000"/>
              <w:right w:val="nil"/>
            </w:tcBorders>
          </w:tcPr>
          <w:p w14:paraId="3EE5232B" w14:textId="77777777" w:rsidR="004A3F14" w:rsidRPr="002813C6" w:rsidRDefault="00420EED">
            <w:r w:rsidRPr="002813C6">
              <w:rPr>
                <w:i/>
              </w:rPr>
              <w:t xml:space="preserve"> $        2,000 </w:t>
            </w:r>
          </w:p>
        </w:tc>
      </w:tr>
      <w:tr w:rsidR="004A3F14" w:rsidRPr="002813C6" w14:paraId="33DC997E" w14:textId="77777777" w:rsidTr="002813C6">
        <w:trPr>
          <w:trHeight w:val="280"/>
        </w:trPr>
        <w:tc>
          <w:tcPr>
            <w:tcW w:w="3271" w:type="dxa"/>
            <w:tcBorders>
              <w:top w:val="nil"/>
              <w:left w:val="nil"/>
              <w:bottom w:val="nil"/>
              <w:right w:val="nil"/>
            </w:tcBorders>
          </w:tcPr>
          <w:p w14:paraId="78FC4F49" w14:textId="77777777" w:rsidR="004A3F14" w:rsidRPr="002813C6" w:rsidRDefault="00420EED">
            <w:r w:rsidRPr="002813C6">
              <w:rPr>
                <w:i/>
              </w:rPr>
              <w:t xml:space="preserve">Total Itemized Deduction </w:t>
            </w:r>
          </w:p>
        </w:tc>
        <w:tc>
          <w:tcPr>
            <w:tcW w:w="1768" w:type="dxa"/>
            <w:tcBorders>
              <w:top w:val="nil"/>
              <w:left w:val="nil"/>
              <w:bottom w:val="nil"/>
              <w:right w:val="nil"/>
            </w:tcBorders>
          </w:tcPr>
          <w:p w14:paraId="027A9617" w14:textId="77777777" w:rsidR="004A3F14" w:rsidRPr="002813C6" w:rsidRDefault="00420EED">
            <w:r w:rsidRPr="002813C6">
              <w:rPr>
                <w:i/>
              </w:rPr>
              <w:t xml:space="preserve"> $        3,900</w:t>
            </w:r>
          </w:p>
        </w:tc>
      </w:tr>
    </w:tbl>
    <w:p w14:paraId="30F945E7" w14:textId="77777777" w:rsidR="002813C6" w:rsidRDefault="002813C6">
      <w:pPr>
        <w:jc w:val="both"/>
        <w:rPr>
          <w:i/>
        </w:rPr>
      </w:pPr>
    </w:p>
    <w:p w14:paraId="65FB7234" w14:textId="77777777" w:rsidR="004A3F14" w:rsidRPr="002813C6" w:rsidRDefault="00420EED">
      <w:pPr>
        <w:jc w:val="both"/>
      </w:pPr>
      <w:r w:rsidRPr="002813C6">
        <w:rPr>
          <w:i/>
        </w:rPr>
        <w:tab/>
        <w:t>$</w:t>
      </w:r>
      <w:r w:rsidR="002813C6" w:rsidRPr="002813C6">
        <w:rPr>
          <w:i/>
        </w:rPr>
        <w:t>3,900 &lt;</w:t>
      </w:r>
      <w:r w:rsidRPr="002813C6">
        <w:rPr>
          <w:i/>
        </w:rPr>
        <w:t xml:space="preserve"> $6,300 (Standard deduction for single)</w:t>
      </w:r>
    </w:p>
    <w:p w14:paraId="7A591312" w14:textId="77777777" w:rsidR="002813C6" w:rsidRDefault="002813C6">
      <w:pPr>
        <w:ind w:left="720"/>
        <w:jc w:val="both"/>
        <w:rPr>
          <w:i/>
        </w:rPr>
      </w:pPr>
    </w:p>
    <w:p w14:paraId="463DA61B" w14:textId="77777777" w:rsidR="004A3F14" w:rsidRPr="002813C6" w:rsidRDefault="00420EED">
      <w:pPr>
        <w:ind w:left="720"/>
        <w:jc w:val="both"/>
      </w:pPr>
      <w:r w:rsidRPr="002813C6">
        <w:rPr>
          <w:i/>
        </w:rPr>
        <w:t>Therefore, he will choose to use standard deduction instead of itemized deduction. His taxable income will become:</w:t>
      </w:r>
    </w:p>
    <w:p w14:paraId="461A2A5B" w14:textId="77777777" w:rsidR="004A3F14" w:rsidRPr="002813C6" w:rsidRDefault="00CD4635">
      <w:pPr>
        <w:ind w:left="720"/>
        <w:jc w:val="both"/>
      </w:pPr>
      <w:r>
        <w:lastRenderedPageBreak/>
        <w:t xml:space="preserve">                     </w:t>
      </w:r>
      <w:r>
        <w:rPr>
          <w:noProof/>
        </w:rPr>
        <w:drawing>
          <wp:inline distT="0" distB="0" distL="0" distR="0" wp14:anchorId="279FDD7A" wp14:editId="3B0048FE">
            <wp:extent cx="3513455" cy="770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3455" cy="770255"/>
                    </a:xfrm>
                    <a:prstGeom prst="rect">
                      <a:avLst/>
                    </a:prstGeom>
                    <a:noFill/>
                    <a:ln>
                      <a:noFill/>
                    </a:ln>
                  </pic:spPr>
                </pic:pic>
              </a:graphicData>
            </a:graphic>
          </wp:inline>
        </w:drawing>
      </w:r>
    </w:p>
    <w:p w14:paraId="74D7C903" w14:textId="77777777" w:rsidR="004A3F14" w:rsidRPr="002813C6" w:rsidRDefault="004A3F14">
      <w:pPr>
        <w:ind w:left="720"/>
        <w:jc w:val="both"/>
      </w:pPr>
    </w:p>
    <w:p w14:paraId="15475DC5" w14:textId="1EBE1136" w:rsidR="004A3F14" w:rsidRPr="002813C6" w:rsidRDefault="00420EED">
      <w:pPr>
        <w:jc w:val="both"/>
      </w:pPr>
      <w:r w:rsidRPr="002813C6">
        <w:rPr>
          <w:b/>
        </w:rPr>
        <w:t>EXAMPLE 2:</w:t>
      </w:r>
      <w:r w:rsidR="008B02FB">
        <w:t xml:space="preserve"> Michael and Stacey</w:t>
      </w:r>
      <w:r w:rsidRPr="002813C6">
        <w:t xml:space="preserve"> are m</w:t>
      </w:r>
      <w:r w:rsidR="008B02FB">
        <w:t>arried with one child from Michael</w:t>
      </w:r>
      <w:r w:rsidRPr="002813C6">
        <w:t xml:space="preserve">’s previous marriage. In August </w:t>
      </w:r>
      <w:r w:rsidRPr="002813C6">
        <w:rPr>
          <w:i/>
        </w:rPr>
        <w:t>201</w:t>
      </w:r>
      <w:r w:rsidR="00CD4635">
        <w:rPr>
          <w:i/>
        </w:rPr>
        <w:t>5</w:t>
      </w:r>
      <w:r w:rsidR="008B02FB">
        <w:t>, Michael</w:t>
      </w:r>
      <w:r w:rsidRPr="002813C6">
        <w:t xml:space="preserve"> went to get a beer and never returned. The </w:t>
      </w:r>
      <w:r w:rsidR="008B02FB">
        <w:t>child continues to live in Stacey</w:t>
      </w:r>
      <w:r w:rsidRPr="002813C6">
        <w:t>’s home.</w:t>
      </w:r>
      <w:r w:rsidRPr="002813C6">
        <w:rPr>
          <w:b/>
        </w:rPr>
        <w:t xml:space="preserve"> </w:t>
      </w:r>
      <w:r w:rsidR="008B02FB">
        <w:t>Michael</w:t>
      </w:r>
      <w:r w:rsidRPr="002813C6">
        <w:t xml:space="preserve"> did not r</w:t>
      </w:r>
      <w:r w:rsidR="00AC6B53">
        <w:t>eturn for the whole year of 2016</w:t>
      </w:r>
      <w:r w:rsidRPr="002813C6">
        <w:t xml:space="preserve">. </w:t>
      </w:r>
    </w:p>
    <w:p w14:paraId="6DE514C6" w14:textId="31092E88" w:rsidR="004A3F14" w:rsidRPr="002813C6" w:rsidRDefault="00420EED">
      <w:pPr>
        <w:numPr>
          <w:ilvl w:val="0"/>
          <w:numId w:val="5"/>
        </w:numPr>
        <w:ind w:hanging="360"/>
        <w:contextualSpacing/>
      </w:pPr>
      <w:r w:rsidRPr="002813C6">
        <w:t>What i</w:t>
      </w:r>
      <w:r w:rsidR="008B02FB">
        <w:t>s Stacey</w:t>
      </w:r>
      <w:r w:rsidR="00CD4635">
        <w:t>’s filling status for 2015</w:t>
      </w:r>
      <w:r w:rsidRPr="002813C6">
        <w:t>?</w:t>
      </w:r>
    </w:p>
    <w:p w14:paraId="085AD157" w14:textId="05EC60FD" w:rsidR="004A3F14" w:rsidRDefault="00420EED">
      <w:pPr>
        <w:ind w:left="720"/>
        <w:jc w:val="both"/>
        <w:rPr>
          <w:i/>
        </w:rPr>
      </w:pPr>
      <w:r w:rsidRPr="002813C6">
        <w:rPr>
          <w:i/>
        </w:rPr>
        <w:t>This example is testing o</w:t>
      </w:r>
      <w:r w:rsidR="00CD4635">
        <w:rPr>
          <w:i/>
        </w:rPr>
        <w:t>n abandoned spouse rule. In 2015</w:t>
      </w:r>
      <w:r w:rsidR="008B02FB">
        <w:rPr>
          <w:i/>
        </w:rPr>
        <w:t>, Michael</w:t>
      </w:r>
      <w:r w:rsidRPr="002813C6">
        <w:rPr>
          <w:i/>
        </w:rPr>
        <w:t xml:space="preserve"> only left ho</w:t>
      </w:r>
      <w:r w:rsidR="008B02FB">
        <w:rPr>
          <w:i/>
        </w:rPr>
        <w:t>me for 4 months. Therefore, Stacey</w:t>
      </w:r>
      <w:r w:rsidRPr="002813C6">
        <w:rPr>
          <w:i/>
        </w:rPr>
        <w:t xml:space="preserve"> does not qualify for Head of Household rates. Therefore, she can only file Married-Separate. She cannot file married joint as she cannot find him to sign the return. She cannot file single or HofH as she is married. </w:t>
      </w:r>
    </w:p>
    <w:p w14:paraId="1F1DAF2E" w14:textId="77777777" w:rsidR="001B0636" w:rsidRPr="002813C6" w:rsidRDefault="001B0636">
      <w:pPr>
        <w:ind w:left="720"/>
        <w:jc w:val="both"/>
      </w:pPr>
    </w:p>
    <w:p w14:paraId="50D63082" w14:textId="486C7A56" w:rsidR="004A3F14" w:rsidRPr="002813C6" w:rsidRDefault="008B02FB" w:rsidP="001B0636">
      <w:pPr>
        <w:numPr>
          <w:ilvl w:val="0"/>
          <w:numId w:val="5"/>
        </w:numPr>
        <w:ind w:hanging="360"/>
        <w:contextualSpacing/>
      </w:pPr>
      <w:r>
        <w:t>What is Stacey</w:t>
      </w:r>
      <w:r w:rsidR="00CD4635">
        <w:t>’s filling status for 2016</w:t>
      </w:r>
      <w:r w:rsidR="00420EED" w:rsidRPr="002813C6">
        <w:t xml:space="preserve">? </w:t>
      </w:r>
    </w:p>
    <w:p w14:paraId="440FB8ED" w14:textId="3EF78754" w:rsidR="004A3F14" w:rsidRPr="002813C6" w:rsidRDefault="008B02FB">
      <w:pPr>
        <w:ind w:left="720"/>
        <w:jc w:val="both"/>
      </w:pPr>
      <w:r>
        <w:rPr>
          <w:i/>
        </w:rPr>
        <w:t>Head of Household because Michael</w:t>
      </w:r>
      <w:r w:rsidR="00420EED" w:rsidRPr="002813C6">
        <w:rPr>
          <w:i/>
        </w:rPr>
        <w:t xml:space="preserve"> was not home for the last six months of the year. </w:t>
      </w:r>
    </w:p>
    <w:p w14:paraId="2A3643CD" w14:textId="77777777" w:rsidR="004A3F14" w:rsidRDefault="004A3F14">
      <w:pPr>
        <w:ind w:left="720"/>
        <w:jc w:val="both"/>
      </w:pPr>
    </w:p>
    <w:p w14:paraId="7ED3D1EE" w14:textId="77777777" w:rsidR="004A3F14" w:rsidRPr="002813C6" w:rsidRDefault="00420EED">
      <w:pPr>
        <w:jc w:val="both"/>
      </w:pPr>
      <w:r w:rsidRPr="002813C6">
        <w:rPr>
          <w:b/>
        </w:rPr>
        <w:t>EXAMPLE 3:</w:t>
      </w:r>
      <w:r w:rsidRPr="002813C6">
        <w:t xml:space="preserve"> John and Jane are married with a </w:t>
      </w:r>
      <w:r w:rsidR="002813C6" w:rsidRPr="002813C6">
        <w:t>3-year-old</w:t>
      </w:r>
      <w:r w:rsidRPr="002813C6">
        <w:t xml:space="preserve"> son.  </w:t>
      </w:r>
      <w:r w:rsidR="00CD4635">
        <w:t>At 11:59 pm on December 31, 2016</w:t>
      </w:r>
      <w:r w:rsidRPr="002813C6">
        <w:t>, Jane gives birth to a daughter.  How many exemptions do they get?</w:t>
      </w:r>
    </w:p>
    <w:p w14:paraId="1F299C16" w14:textId="77777777" w:rsidR="004A3F14" w:rsidRDefault="00420EED">
      <w:pPr>
        <w:ind w:left="720"/>
        <w:jc w:val="both"/>
        <w:rPr>
          <w:i/>
        </w:rPr>
      </w:pPr>
      <w:r w:rsidRPr="002813C6">
        <w:rPr>
          <w:i/>
        </w:rPr>
        <w:t xml:space="preserve">Four – husband, wife, son, and the newborn daughter </w:t>
      </w:r>
    </w:p>
    <w:p w14:paraId="5CF3A6B1" w14:textId="0A4EC106" w:rsidR="00AE3D00" w:rsidRPr="002813C6" w:rsidRDefault="00AE3D00">
      <w:pPr>
        <w:ind w:left="720"/>
        <w:jc w:val="both"/>
      </w:pPr>
      <w:r>
        <w:rPr>
          <w:i/>
        </w:rPr>
        <w:t>Newborn daughter is a qualifying child because of rule exception to newborns</w:t>
      </w:r>
    </w:p>
    <w:p w14:paraId="1A55BEF4" w14:textId="77777777" w:rsidR="004A3F14" w:rsidRDefault="004A3F14">
      <w:pPr>
        <w:jc w:val="both"/>
      </w:pPr>
    </w:p>
    <w:p w14:paraId="668B4AA4" w14:textId="77777777" w:rsidR="004A3F14" w:rsidRPr="002813C6" w:rsidRDefault="00420EED">
      <w:pPr>
        <w:jc w:val="both"/>
      </w:pPr>
      <w:r w:rsidRPr="002813C6">
        <w:rPr>
          <w:b/>
        </w:rPr>
        <w:t>EXAMPLE 4:</w:t>
      </w:r>
      <w:r w:rsidRPr="002813C6">
        <w:t xml:space="preserve"> Determine if the following individuals are dependents (assume that the support test is met for all of them and that they all are US citizens) and if they qualify for the child credit. </w:t>
      </w:r>
    </w:p>
    <w:p w14:paraId="08BB51AB" w14:textId="77777777" w:rsidR="004A3F14" w:rsidRPr="002813C6" w:rsidRDefault="00420EED">
      <w:pPr>
        <w:numPr>
          <w:ilvl w:val="1"/>
          <w:numId w:val="2"/>
        </w:numPr>
        <w:ind w:left="1080" w:hanging="360"/>
        <w:jc w:val="both"/>
      </w:pPr>
      <w:r w:rsidRPr="002813C6">
        <w:t xml:space="preserve">Uncle John who has income from City of St. Louis bonds of $100,000. There is a particular provision in the Internal Revenue Code which exempts this income. </w:t>
      </w:r>
    </w:p>
    <w:p w14:paraId="1538C9AB" w14:textId="77777777" w:rsidR="004A3F14" w:rsidRPr="002813C6" w:rsidRDefault="00420EED">
      <w:pPr>
        <w:ind w:left="360" w:firstLine="720"/>
        <w:jc w:val="both"/>
      </w:pPr>
      <w:r w:rsidRPr="002813C6">
        <w:rPr>
          <w:i/>
        </w:rPr>
        <w:t>Yes – he is a qualifying relative and he has gross income of zero a</w:t>
      </w:r>
      <w:r w:rsidR="002813C6">
        <w:rPr>
          <w:i/>
        </w:rPr>
        <w:t>s municipal bonds are excluded.</w:t>
      </w:r>
    </w:p>
    <w:p w14:paraId="3E9D4F9B" w14:textId="77777777" w:rsidR="004A3F14" w:rsidRPr="002813C6" w:rsidRDefault="00420EED">
      <w:pPr>
        <w:ind w:left="360" w:firstLine="720"/>
        <w:jc w:val="both"/>
      </w:pPr>
      <w:r w:rsidRPr="002813C6">
        <w:rPr>
          <w:i/>
        </w:rPr>
        <w:t xml:space="preserve">No child credit. </w:t>
      </w:r>
    </w:p>
    <w:p w14:paraId="3403C6C6" w14:textId="77777777" w:rsidR="004A3F14" w:rsidRPr="002813C6" w:rsidRDefault="00420EED">
      <w:pPr>
        <w:numPr>
          <w:ilvl w:val="1"/>
          <w:numId w:val="2"/>
        </w:numPr>
        <w:ind w:left="1080" w:hanging="360"/>
        <w:jc w:val="both"/>
      </w:pPr>
      <w:r w:rsidRPr="002813C6">
        <w:t>Uncle Bob who has income f</w:t>
      </w:r>
      <w:r w:rsidR="00C74D12">
        <w:t>rom renting an apartment of $4,5</w:t>
      </w:r>
      <w:r w:rsidRPr="002813C6">
        <w:t xml:space="preserve">00 and rental expenses of $2,000. </w:t>
      </w:r>
    </w:p>
    <w:p w14:paraId="0FED6F20" w14:textId="77777777" w:rsidR="004A3F14" w:rsidRPr="002813C6" w:rsidRDefault="00420EED">
      <w:pPr>
        <w:ind w:left="360" w:firstLine="720"/>
        <w:jc w:val="both"/>
      </w:pPr>
      <w:r w:rsidRPr="002813C6">
        <w:rPr>
          <w:i/>
        </w:rPr>
        <w:t>No, Bob has too much gross income to be a Qualifying Relative.</w:t>
      </w:r>
    </w:p>
    <w:p w14:paraId="22CCE642" w14:textId="77777777" w:rsidR="004A3F14" w:rsidRPr="002813C6" w:rsidRDefault="00420EED">
      <w:pPr>
        <w:ind w:left="360" w:firstLine="720"/>
        <w:jc w:val="both"/>
      </w:pPr>
      <w:r w:rsidRPr="002813C6">
        <w:rPr>
          <w:i/>
        </w:rPr>
        <w:t>No child credit.</w:t>
      </w:r>
    </w:p>
    <w:p w14:paraId="29AA3E55" w14:textId="77777777" w:rsidR="004A3F14" w:rsidRPr="002813C6" w:rsidRDefault="004A3F14">
      <w:pPr>
        <w:jc w:val="both"/>
      </w:pPr>
    </w:p>
    <w:p w14:paraId="0325F9E1" w14:textId="77777777" w:rsidR="004A3F14" w:rsidRPr="002813C6" w:rsidRDefault="00420EED">
      <w:pPr>
        <w:numPr>
          <w:ilvl w:val="1"/>
          <w:numId w:val="2"/>
        </w:numPr>
        <w:ind w:left="1080" w:hanging="360"/>
        <w:jc w:val="both"/>
      </w:pPr>
      <w:r w:rsidRPr="002813C6">
        <w:t xml:space="preserve">Cousin Julie who lives with the taxpayer and has no income. </w:t>
      </w:r>
    </w:p>
    <w:p w14:paraId="62EFECA6" w14:textId="77777777" w:rsidR="004A3F14" w:rsidRPr="002813C6" w:rsidRDefault="00420EED">
      <w:pPr>
        <w:ind w:left="1080"/>
        <w:jc w:val="both"/>
      </w:pPr>
      <w:r w:rsidRPr="002813C6">
        <w:rPr>
          <w:i/>
        </w:rPr>
        <w:t>Yes (qualifying relative) - although not a relative she is a member of the household.</w:t>
      </w:r>
    </w:p>
    <w:p w14:paraId="29569A30" w14:textId="77777777" w:rsidR="004A3F14" w:rsidRPr="002813C6" w:rsidRDefault="00420EED">
      <w:pPr>
        <w:ind w:left="1080"/>
        <w:jc w:val="both"/>
      </w:pPr>
      <w:r w:rsidRPr="002813C6">
        <w:rPr>
          <w:i/>
        </w:rPr>
        <w:t>No child credit.</w:t>
      </w:r>
    </w:p>
    <w:p w14:paraId="7A65F3E8" w14:textId="77777777" w:rsidR="004A3F14" w:rsidRPr="002813C6" w:rsidRDefault="004A3F14">
      <w:pPr>
        <w:ind w:left="1440"/>
        <w:jc w:val="both"/>
      </w:pPr>
    </w:p>
    <w:p w14:paraId="344B0EA2" w14:textId="77777777" w:rsidR="004A3F14" w:rsidRPr="002813C6" w:rsidRDefault="00420EED">
      <w:pPr>
        <w:numPr>
          <w:ilvl w:val="1"/>
          <w:numId w:val="2"/>
        </w:numPr>
        <w:ind w:left="1080" w:hanging="360"/>
        <w:jc w:val="both"/>
      </w:pPr>
      <w:r w:rsidRPr="002813C6">
        <w:t xml:space="preserve">Peter, the taxpayer’s son, who is 20, a full-time student and has gross income of $5,000. Peter lives with the taxpayer. </w:t>
      </w:r>
    </w:p>
    <w:p w14:paraId="3E7D205D" w14:textId="77777777" w:rsidR="004A3F14" w:rsidRPr="002813C6" w:rsidRDefault="00420EED">
      <w:pPr>
        <w:ind w:left="1080"/>
        <w:jc w:val="both"/>
      </w:pPr>
      <w:r w:rsidRPr="002813C6">
        <w:rPr>
          <w:i/>
        </w:rPr>
        <w:t>Yes - qualifying child.</w:t>
      </w:r>
    </w:p>
    <w:p w14:paraId="614F5C83" w14:textId="77777777" w:rsidR="004A3F14" w:rsidRPr="002813C6" w:rsidRDefault="00420EED">
      <w:pPr>
        <w:ind w:left="1080"/>
        <w:jc w:val="both"/>
      </w:pPr>
      <w:r w:rsidRPr="002813C6">
        <w:rPr>
          <w:i/>
        </w:rPr>
        <w:t>No child credit – too old. Is there an income limit? No.</w:t>
      </w:r>
    </w:p>
    <w:p w14:paraId="3C9CE76E" w14:textId="77777777" w:rsidR="004A3F14" w:rsidRPr="002813C6" w:rsidRDefault="004A3F14">
      <w:pPr>
        <w:ind w:left="1440"/>
        <w:jc w:val="both"/>
      </w:pPr>
    </w:p>
    <w:p w14:paraId="6A6738A1" w14:textId="77777777" w:rsidR="004A3F14" w:rsidRPr="002813C6" w:rsidRDefault="00420EED">
      <w:pPr>
        <w:numPr>
          <w:ilvl w:val="1"/>
          <w:numId w:val="2"/>
        </w:numPr>
        <w:ind w:left="1080" w:hanging="360"/>
        <w:jc w:val="both"/>
      </w:pPr>
      <w:r w:rsidRPr="002813C6">
        <w:t xml:space="preserve">Same as 4, except Peter is 25. </w:t>
      </w:r>
    </w:p>
    <w:p w14:paraId="14F4783E" w14:textId="77777777" w:rsidR="004A3F14" w:rsidRPr="002813C6" w:rsidRDefault="00420EED">
      <w:pPr>
        <w:ind w:left="1080"/>
        <w:jc w:val="both"/>
      </w:pPr>
      <w:r w:rsidRPr="002813C6">
        <w:rPr>
          <w:i/>
        </w:rPr>
        <w:lastRenderedPageBreak/>
        <w:t>No, Peter is too old to be a Qualifying Child and has too much income to be a Qualifying Relative.</w:t>
      </w:r>
    </w:p>
    <w:p w14:paraId="01B5B0C1" w14:textId="77777777" w:rsidR="004A3F14" w:rsidRPr="002813C6" w:rsidRDefault="00420EED">
      <w:pPr>
        <w:ind w:left="1080"/>
        <w:jc w:val="both"/>
      </w:pPr>
      <w:r w:rsidRPr="002813C6">
        <w:rPr>
          <w:i/>
        </w:rPr>
        <w:t>No child credit - too old.</w:t>
      </w:r>
    </w:p>
    <w:p w14:paraId="324A8181" w14:textId="77777777" w:rsidR="004A3F14" w:rsidRPr="002813C6" w:rsidRDefault="004A3F14">
      <w:pPr>
        <w:ind w:left="1440"/>
        <w:jc w:val="both"/>
      </w:pPr>
    </w:p>
    <w:p w14:paraId="6F56FDD7" w14:textId="77777777" w:rsidR="004A3F14" w:rsidRPr="002813C6" w:rsidRDefault="00420EED">
      <w:pPr>
        <w:numPr>
          <w:ilvl w:val="1"/>
          <w:numId w:val="2"/>
        </w:numPr>
        <w:ind w:left="1080" w:hanging="360"/>
        <w:jc w:val="both"/>
      </w:pPr>
      <w:r w:rsidRPr="002813C6">
        <w:t xml:space="preserve">Katie, the taxpayer’s granddaughter, who is 12 and has no income. Katie lives with the taxpayer </w:t>
      </w:r>
    </w:p>
    <w:p w14:paraId="775518FD" w14:textId="77777777" w:rsidR="004A3F14" w:rsidRPr="002813C6" w:rsidRDefault="00420EED">
      <w:pPr>
        <w:ind w:left="1080"/>
        <w:jc w:val="both"/>
      </w:pPr>
      <w:r w:rsidRPr="002813C6">
        <w:rPr>
          <w:i/>
        </w:rPr>
        <w:t>Yes – qualified child.</w:t>
      </w:r>
    </w:p>
    <w:p w14:paraId="16AC93BB" w14:textId="77777777" w:rsidR="004A3F14" w:rsidRPr="002813C6" w:rsidRDefault="00420EED">
      <w:pPr>
        <w:ind w:left="1080"/>
        <w:jc w:val="both"/>
      </w:pPr>
      <w:r w:rsidRPr="002813C6">
        <w:rPr>
          <w:i/>
        </w:rPr>
        <w:t>Yes for child credit.</w:t>
      </w:r>
    </w:p>
    <w:p w14:paraId="75AC1D1C" w14:textId="77777777" w:rsidR="004A3F14" w:rsidRPr="002813C6" w:rsidRDefault="004A3F14">
      <w:pPr>
        <w:ind w:left="1440"/>
        <w:jc w:val="both"/>
      </w:pPr>
    </w:p>
    <w:p w14:paraId="66E5B381" w14:textId="77777777" w:rsidR="004A3F14" w:rsidRPr="002813C6" w:rsidRDefault="00420EED">
      <w:pPr>
        <w:numPr>
          <w:ilvl w:val="1"/>
          <w:numId w:val="2"/>
        </w:numPr>
        <w:ind w:left="1080" w:hanging="360"/>
        <w:jc w:val="both"/>
      </w:pPr>
      <w:r w:rsidRPr="002813C6">
        <w:t>Allison, the taxpayer’s child, who is 25 and has no income.</w:t>
      </w:r>
    </w:p>
    <w:p w14:paraId="15245147" w14:textId="77777777" w:rsidR="004A3F14" w:rsidRPr="002813C6" w:rsidRDefault="00420EED">
      <w:pPr>
        <w:ind w:left="1080"/>
        <w:jc w:val="both"/>
      </w:pPr>
      <w:r w:rsidRPr="002813C6">
        <w:rPr>
          <w:i/>
        </w:rPr>
        <w:t>Yes- she is a qualified relative.</w:t>
      </w:r>
    </w:p>
    <w:p w14:paraId="2D4EDC79" w14:textId="77777777" w:rsidR="004A3F14" w:rsidRPr="002813C6" w:rsidRDefault="00420EED">
      <w:pPr>
        <w:ind w:left="1080"/>
        <w:jc w:val="both"/>
      </w:pPr>
      <w:r w:rsidRPr="002813C6">
        <w:rPr>
          <w:i/>
        </w:rPr>
        <w:t>No for child credit – too old.</w:t>
      </w:r>
    </w:p>
    <w:p w14:paraId="456CD2F7" w14:textId="77777777" w:rsidR="002813C6" w:rsidRPr="002813C6" w:rsidRDefault="002813C6">
      <w:pPr>
        <w:jc w:val="both"/>
      </w:pPr>
    </w:p>
    <w:p w14:paraId="7AE632BB" w14:textId="77777777" w:rsidR="004A3F14" w:rsidRPr="002813C6" w:rsidRDefault="00420EED">
      <w:pPr>
        <w:jc w:val="both"/>
      </w:pPr>
      <w:r w:rsidRPr="002813C6">
        <w:rPr>
          <w:b/>
        </w:rPr>
        <w:t>EXAMPLE 5:</w:t>
      </w:r>
      <w:r w:rsidRPr="002813C6">
        <w:t xml:space="preserve">  Determine Judy’s filing status and how many exemptions she gets for each of the following years:</w:t>
      </w:r>
    </w:p>
    <w:p w14:paraId="6C352A70" w14:textId="77777777" w:rsidR="004A3F14" w:rsidRPr="002813C6" w:rsidRDefault="00420EED">
      <w:pPr>
        <w:jc w:val="both"/>
      </w:pPr>
      <w:r w:rsidRPr="002813C6">
        <w:tab/>
        <w:t xml:space="preserve">2013—She is married to Jeff and has a </w:t>
      </w:r>
      <w:r w:rsidR="002813C6" w:rsidRPr="002813C6">
        <w:t>5-year-old</w:t>
      </w:r>
      <w:r w:rsidRPr="002813C6">
        <w:t xml:space="preserve"> child</w:t>
      </w:r>
    </w:p>
    <w:p w14:paraId="4EAA0A4A" w14:textId="77777777" w:rsidR="004A3F14" w:rsidRPr="002813C6" w:rsidRDefault="00420EED">
      <w:pPr>
        <w:jc w:val="both"/>
      </w:pPr>
      <w:r w:rsidRPr="002813C6">
        <w:tab/>
      </w:r>
      <w:r w:rsidRPr="002813C6">
        <w:tab/>
      </w:r>
      <w:r w:rsidRPr="002813C6">
        <w:rPr>
          <w:i/>
        </w:rPr>
        <w:t>Married – Joint with three exemptions (Judy, Jeff, and child)</w:t>
      </w:r>
    </w:p>
    <w:p w14:paraId="6C599F9B" w14:textId="77777777" w:rsidR="004A3F14" w:rsidRPr="002813C6" w:rsidRDefault="004A3F14">
      <w:pPr>
        <w:jc w:val="both"/>
      </w:pPr>
    </w:p>
    <w:p w14:paraId="454CFEA3" w14:textId="77777777" w:rsidR="004A3F14" w:rsidRPr="002813C6" w:rsidRDefault="00420EED">
      <w:pPr>
        <w:jc w:val="both"/>
      </w:pPr>
      <w:r w:rsidRPr="002813C6">
        <w:tab/>
        <w:t xml:space="preserve">2014—Jeff dies in April </w:t>
      </w:r>
      <w:r w:rsidR="002813C6" w:rsidRPr="002813C6">
        <w:t>2014;</w:t>
      </w:r>
      <w:r w:rsidRPr="002813C6">
        <w:t xml:space="preserve"> she continues to maintain the support for the child</w:t>
      </w:r>
    </w:p>
    <w:p w14:paraId="35D17A79" w14:textId="77777777" w:rsidR="004A3F14" w:rsidRPr="002813C6" w:rsidRDefault="00420EED">
      <w:pPr>
        <w:jc w:val="both"/>
      </w:pPr>
      <w:r w:rsidRPr="002813C6">
        <w:tab/>
      </w:r>
      <w:r w:rsidRPr="002813C6">
        <w:tab/>
      </w:r>
      <w:r w:rsidRPr="002813C6">
        <w:rPr>
          <w:i/>
        </w:rPr>
        <w:t>Married – Joint with three exemptions (Judy, Jeff, and child)</w:t>
      </w:r>
    </w:p>
    <w:p w14:paraId="405443D5" w14:textId="77777777" w:rsidR="004A3F14" w:rsidRPr="002813C6" w:rsidRDefault="004A3F14">
      <w:pPr>
        <w:jc w:val="both"/>
      </w:pPr>
    </w:p>
    <w:p w14:paraId="7BBB0DFA" w14:textId="77777777" w:rsidR="004A3F14" w:rsidRPr="002813C6" w:rsidRDefault="00420EED">
      <w:pPr>
        <w:jc w:val="both"/>
      </w:pPr>
      <w:r w:rsidRPr="002813C6">
        <w:tab/>
        <w:t xml:space="preserve">2015—She continues to provide support for her child </w:t>
      </w:r>
    </w:p>
    <w:p w14:paraId="52143A96" w14:textId="77777777" w:rsidR="004A3F14" w:rsidRPr="002813C6" w:rsidRDefault="00420EED">
      <w:pPr>
        <w:jc w:val="both"/>
      </w:pPr>
      <w:r w:rsidRPr="002813C6">
        <w:tab/>
      </w:r>
      <w:r w:rsidRPr="002813C6">
        <w:tab/>
      </w:r>
      <w:r w:rsidRPr="002813C6">
        <w:rPr>
          <w:i/>
        </w:rPr>
        <w:t xml:space="preserve">Married – Joint (Surviving </w:t>
      </w:r>
      <w:r w:rsidR="002813C6" w:rsidRPr="002813C6">
        <w:rPr>
          <w:i/>
        </w:rPr>
        <w:t>Spouse</w:t>
      </w:r>
      <w:r w:rsidRPr="002813C6">
        <w:rPr>
          <w:i/>
        </w:rPr>
        <w:t>) with two exemptions (Judy and child)</w:t>
      </w:r>
    </w:p>
    <w:p w14:paraId="6D18759D" w14:textId="77777777" w:rsidR="004A3F14" w:rsidRPr="002813C6" w:rsidRDefault="004A3F14">
      <w:pPr>
        <w:jc w:val="both"/>
      </w:pPr>
    </w:p>
    <w:p w14:paraId="5E65022B" w14:textId="77777777" w:rsidR="004A3F14" w:rsidRPr="002813C6" w:rsidRDefault="00420EED">
      <w:pPr>
        <w:jc w:val="both"/>
      </w:pPr>
      <w:r w:rsidRPr="002813C6">
        <w:tab/>
        <w:t>2016—She continues to provide support for her child</w:t>
      </w:r>
    </w:p>
    <w:p w14:paraId="64110875" w14:textId="77777777" w:rsidR="004A3F14" w:rsidRPr="002813C6" w:rsidRDefault="00420EED">
      <w:pPr>
        <w:jc w:val="both"/>
      </w:pPr>
      <w:r w:rsidRPr="002813C6">
        <w:tab/>
      </w:r>
      <w:r w:rsidRPr="002813C6">
        <w:tab/>
      </w:r>
      <w:r w:rsidRPr="002813C6">
        <w:rPr>
          <w:i/>
        </w:rPr>
        <w:t>Married – Joint (Surviving Spouse) with two exemptions (Judy and child)</w:t>
      </w:r>
    </w:p>
    <w:p w14:paraId="7C7E4C5D" w14:textId="77777777" w:rsidR="004A3F14" w:rsidRPr="002813C6" w:rsidRDefault="004A3F14">
      <w:pPr>
        <w:jc w:val="both"/>
      </w:pPr>
    </w:p>
    <w:p w14:paraId="14448027" w14:textId="77777777" w:rsidR="004A3F14" w:rsidRPr="002813C6" w:rsidRDefault="00420EED">
      <w:pPr>
        <w:jc w:val="both"/>
      </w:pPr>
      <w:r w:rsidRPr="002813C6">
        <w:tab/>
        <w:t>2017—She continues to provide support for her child</w:t>
      </w:r>
    </w:p>
    <w:p w14:paraId="22F50F18" w14:textId="77777777" w:rsidR="004A3F14" w:rsidRPr="002813C6" w:rsidRDefault="00420EED">
      <w:pPr>
        <w:jc w:val="both"/>
      </w:pPr>
      <w:r w:rsidRPr="002813C6">
        <w:tab/>
      </w:r>
      <w:r w:rsidRPr="002813C6">
        <w:tab/>
      </w:r>
      <w:r w:rsidRPr="002813C6">
        <w:rPr>
          <w:i/>
        </w:rPr>
        <w:t>Head of Household with two exemptions (Judy and child)</w:t>
      </w:r>
    </w:p>
    <w:p w14:paraId="2E50C4AA" w14:textId="77777777" w:rsidR="002813C6" w:rsidRPr="002813C6" w:rsidRDefault="002813C6">
      <w:pPr>
        <w:jc w:val="both"/>
      </w:pPr>
    </w:p>
    <w:p w14:paraId="6B958965" w14:textId="77777777" w:rsidR="004A3F14" w:rsidRPr="002813C6" w:rsidRDefault="00420EED">
      <w:pPr>
        <w:jc w:val="both"/>
      </w:pPr>
      <w:r w:rsidRPr="002813C6">
        <w:rPr>
          <w:b/>
        </w:rPr>
        <w:t>EXAMPLE 6:</w:t>
      </w:r>
      <w:r w:rsidRPr="002813C6">
        <w:t xml:space="preserve"> Adam and Whitney are married.  They have one child, El</w:t>
      </w:r>
      <w:r w:rsidR="00CD4635">
        <w:t>lie who is 7 years old.  In 2015</w:t>
      </w:r>
      <w:r w:rsidRPr="002813C6">
        <w:t xml:space="preserve"> they get a divorce.  The divorce papers are silent as to who gets to claim Ellie as a dependent.</w:t>
      </w:r>
    </w:p>
    <w:p w14:paraId="62C4C726" w14:textId="77777777" w:rsidR="004A3F14" w:rsidRPr="002813C6" w:rsidRDefault="00420EED">
      <w:pPr>
        <w:numPr>
          <w:ilvl w:val="0"/>
          <w:numId w:val="3"/>
        </w:numPr>
        <w:ind w:hanging="360"/>
        <w:jc w:val="both"/>
      </w:pPr>
      <w:r w:rsidRPr="002813C6">
        <w:t>Whitney is Ellie’s custodian.  Who gets to decide who claims Ellie as a dependent?</w:t>
      </w:r>
    </w:p>
    <w:p w14:paraId="3218E688" w14:textId="77777777" w:rsidR="004A3F14" w:rsidRPr="002813C6" w:rsidRDefault="00420EED">
      <w:pPr>
        <w:ind w:left="720" w:firstLine="360"/>
        <w:jc w:val="both"/>
      </w:pPr>
      <w:r w:rsidRPr="002813C6">
        <w:rPr>
          <w:i/>
        </w:rPr>
        <w:t>Whitney since she is the custodian.</w:t>
      </w:r>
    </w:p>
    <w:p w14:paraId="0050AE33" w14:textId="77777777" w:rsidR="004A3F14" w:rsidRPr="002813C6" w:rsidRDefault="004A3F14">
      <w:pPr>
        <w:ind w:left="720"/>
        <w:jc w:val="both"/>
      </w:pPr>
    </w:p>
    <w:p w14:paraId="3237963F" w14:textId="77777777" w:rsidR="004A3F14" w:rsidRPr="002813C6" w:rsidRDefault="00420EED">
      <w:pPr>
        <w:numPr>
          <w:ilvl w:val="0"/>
          <w:numId w:val="3"/>
        </w:numPr>
        <w:ind w:hanging="360"/>
        <w:jc w:val="both"/>
      </w:pPr>
      <w:r w:rsidRPr="002813C6">
        <w:t>Let’s suppose Whitney claims Ellie. What is her filing status and how many exemptions does she get?</w:t>
      </w:r>
    </w:p>
    <w:p w14:paraId="198BBFD0" w14:textId="77777777" w:rsidR="004A3F14" w:rsidRPr="002813C6" w:rsidRDefault="00420EED">
      <w:pPr>
        <w:ind w:left="720" w:firstLine="360"/>
        <w:jc w:val="both"/>
      </w:pPr>
      <w:r w:rsidRPr="002813C6">
        <w:rPr>
          <w:i/>
        </w:rPr>
        <w:t>Head of Household and two exemptions – one for herself and one for Ellie.</w:t>
      </w:r>
    </w:p>
    <w:p w14:paraId="214A5705" w14:textId="77777777" w:rsidR="004A3F14" w:rsidRPr="002813C6" w:rsidRDefault="004A3F14">
      <w:pPr>
        <w:jc w:val="both"/>
      </w:pPr>
    </w:p>
    <w:p w14:paraId="3BF92718" w14:textId="77777777" w:rsidR="004A3F14" w:rsidRPr="002813C6" w:rsidRDefault="00420EED">
      <w:pPr>
        <w:numPr>
          <w:ilvl w:val="0"/>
          <w:numId w:val="3"/>
        </w:numPr>
        <w:ind w:hanging="360"/>
        <w:jc w:val="both"/>
      </w:pPr>
      <w:r w:rsidRPr="002813C6">
        <w:t>Whitney signed papers saying that Adam can claim Ellie as a dependent.  Whitney still is Ellie’s custodian.  What’s Adam’s filing status and how many exemptions does he get?</w:t>
      </w:r>
    </w:p>
    <w:p w14:paraId="605D9A1C" w14:textId="77777777" w:rsidR="004A3F14" w:rsidRPr="002813C6" w:rsidRDefault="00420EED">
      <w:pPr>
        <w:ind w:left="1080"/>
        <w:jc w:val="both"/>
      </w:pPr>
      <w:r w:rsidRPr="002813C6">
        <w:rPr>
          <w:i/>
        </w:rPr>
        <w:t>Adam still has the filing status single because Ellie doesn’t live with him. However, he can now claim two exemptions since Whitney signed over that right to Adam.</w:t>
      </w:r>
    </w:p>
    <w:p w14:paraId="01EE0E93" w14:textId="77777777" w:rsidR="004A3F14" w:rsidRDefault="004A3F14">
      <w:pPr>
        <w:jc w:val="both"/>
      </w:pPr>
    </w:p>
    <w:p w14:paraId="06DC95BB" w14:textId="424CC3C6" w:rsidR="00C97481" w:rsidRPr="00C97481" w:rsidRDefault="00C97481" w:rsidP="00C97481">
      <w:pPr>
        <w:ind w:left="360"/>
        <w:jc w:val="both"/>
        <w:rPr>
          <w:i/>
        </w:rPr>
      </w:pPr>
    </w:p>
    <w:sectPr w:rsidR="00C97481" w:rsidRPr="00C97481">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761AE" w14:textId="77777777" w:rsidR="00320573" w:rsidRDefault="00320573">
      <w:r>
        <w:separator/>
      </w:r>
    </w:p>
  </w:endnote>
  <w:endnote w:type="continuationSeparator" w:id="0">
    <w:p w14:paraId="42D35575" w14:textId="77777777" w:rsidR="00320573" w:rsidRDefault="0032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A674F" w14:textId="2D5A3123" w:rsidR="004A3F14" w:rsidRDefault="00420EED">
    <w:pPr>
      <w:tabs>
        <w:tab w:val="center" w:pos="4320"/>
        <w:tab w:val="right" w:pos="8640"/>
      </w:tabs>
      <w:jc w:val="center"/>
    </w:pPr>
    <w:r>
      <w:fldChar w:fldCharType="begin"/>
    </w:r>
    <w:r>
      <w:instrText>PAGE</w:instrText>
    </w:r>
    <w:r>
      <w:fldChar w:fldCharType="separate"/>
    </w:r>
    <w:r w:rsidR="007B491E">
      <w:rPr>
        <w:noProof/>
      </w:rPr>
      <w:t>1</w:t>
    </w:r>
    <w:r>
      <w:fldChar w:fldCharType="end"/>
    </w:r>
  </w:p>
  <w:p w14:paraId="1EAA4D98" w14:textId="77777777" w:rsidR="004A3F14" w:rsidRDefault="004A3F14">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44FCF" w14:textId="77777777" w:rsidR="00320573" w:rsidRDefault="00320573">
      <w:r>
        <w:separator/>
      </w:r>
    </w:p>
  </w:footnote>
  <w:footnote w:type="continuationSeparator" w:id="0">
    <w:p w14:paraId="223A9C8B" w14:textId="77777777" w:rsidR="00320573" w:rsidRDefault="00320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4E5"/>
    <w:multiLevelType w:val="multilevel"/>
    <w:tmpl w:val="AFEC8F32"/>
    <w:lvl w:ilvl="0">
      <w:start w:val="1"/>
      <w:numFmt w:val="decimal"/>
      <w:lvlText w:val="%1."/>
      <w:lvlJc w:val="left"/>
      <w:pPr>
        <w:ind w:left="1080" w:firstLine="720"/>
      </w:pPr>
      <w:rPr>
        <w:b w:val="0"/>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 w15:restartNumberingAfterBreak="0">
    <w:nsid w:val="08AC54AB"/>
    <w:multiLevelType w:val="multilevel"/>
    <w:tmpl w:val="D4568446"/>
    <w:lvl w:ilvl="0">
      <w:start w:val="1"/>
      <w:numFmt w:val="lowerLetter"/>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15:restartNumberingAfterBreak="0">
    <w:nsid w:val="0BDA5302"/>
    <w:multiLevelType w:val="multilevel"/>
    <w:tmpl w:val="7BD0620E"/>
    <w:lvl w:ilvl="0">
      <w:start w:val="1"/>
      <w:numFmt w:val="lowerLetter"/>
      <w:lvlText w:val="%1."/>
      <w:lvlJc w:val="left"/>
      <w:pPr>
        <w:ind w:left="2520" w:firstLine="2160"/>
      </w:pPr>
      <w:rPr>
        <w:vertAlign w:val="baseline"/>
      </w:rPr>
    </w:lvl>
    <w:lvl w:ilvl="1">
      <w:start w:val="1"/>
      <w:numFmt w:val="decimal"/>
      <w:lvlText w:val="%2."/>
      <w:lvlJc w:val="left"/>
      <w:pPr>
        <w:ind w:left="3240" w:firstLine="2880"/>
      </w:pPr>
      <w:rPr>
        <w:vertAlign w:val="baseline"/>
      </w:rPr>
    </w:lvl>
    <w:lvl w:ilvl="2">
      <w:start w:val="1"/>
      <w:numFmt w:val="lowerRoman"/>
      <w:lvlText w:val="%3."/>
      <w:lvlJc w:val="right"/>
      <w:pPr>
        <w:ind w:left="3960" w:firstLine="3780"/>
      </w:pPr>
      <w:rPr>
        <w:vertAlign w:val="baseline"/>
      </w:rPr>
    </w:lvl>
    <w:lvl w:ilvl="3">
      <w:start w:val="3"/>
      <w:numFmt w:val="upperLetter"/>
      <w:lvlText w:val="%4."/>
      <w:lvlJc w:val="left"/>
      <w:pPr>
        <w:ind w:left="4680" w:firstLine="4320"/>
      </w:pPr>
      <w:rPr>
        <w:vertAlign w:val="baseline"/>
      </w:rPr>
    </w:lvl>
    <w:lvl w:ilvl="4">
      <w:start w:val="1"/>
      <w:numFmt w:val="lowerLetter"/>
      <w:lvlText w:val="%5."/>
      <w:lvlJc w:val="left"/>
      <w:pPr>
        <w:ind w:left="5400" w:firstLine="5040"/>
      </w:pPr>
      <w:rPr>
        <w:vertAlign w:val="baseline"/>
      </w:rPr>
    </w:lvl>
    <w:lvl w:ilvl="5">
      <w:start w:val="1"/>
      <w:numFmt w:val="lowerRoman"/>
      <w:lvlText w:val="%6."/>
      <w:lvlJc w:val="right"/>
      <w:pPr>
        <w:ind w:left="6120" w:firstLine="5940"/>
      </w:pPr>
      <w:rPr>
        <w:vertAlign w:val="baseline"/>
      </w:rPr>
    </w:lvl>
    <w:lvl w:ilvl="6">
      <w:start w:val="1"/>
      <w:numFmt w:val="decimal"/>
      <w:lvlText w:val="%7."/>
      <w:lvlJc w:val="left"/>
      <w:pPr>
        <w:ind w:left="6840" w:firstLine="6480"/>
      </w:pPr>
      <w:rPr>
        <w:vertAlign w:val="baseline"/>
      </w:rPr>
    </w:lvl>
    <w:lvl w:ilvl="7">
      <w:start w:val="1"/>
      <w:numFmt w:val="lowerLetter"/>
      <w:lvlText w:val="%8."/>
      <w:lvlJc w:val="left"/>
      <w:pPr>
        <w:ind w:left="7560" w:firstLine="7200"/>
      </w:pPr>
      <w:rPr>
        <w:vertAlign w:val="baseline"/>
      </w:rPr>
    </w:lvl>
    <w:lvl w:ilvl="8">
      <w:start w:val="1"/>
      <w:numFmt w:val="lowerRoman"/>
      <w:lvlText w:val="%9."/>
      <w:lvlJc w:val="right"/>
      <w:pPr>
        <w:ind w:left="8280" w:firstLine="8100"/>
      </w:pPr>
      <w:rPr>
        <w:vertAlign w:val="baseline"/>
      </w:rPr>
    </w:lvl>
  </w:abstractNum>
  <w:abstractNum w:abstractNumId="3" w15:restartNumberingAfterBreak="0">
    <w:nsid w:val="38A14925"/>
    <w:multiLevelType w:val="hybridMultilevel"/>
    <w:tmpl w:val="A5AA14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27600"/>
    <w:multiLevelType w:val="multilevel"/>
    <w:tmpl w:val="669A94E2"/>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6C635404"/>
    <w:multiLevelType w:val="multilevel"/>
    <w:tmpl w:val="C060DE7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F14"/>
    <w:rsid w:val="00024D38"/>
    <w:rsid w:val="00084CAF"/>
    <w:rsid w:val="001B0636"/>
    <w:rsid w:val="002813C6"/>
    <w:rsid w:val="00320573"/>
    <w:rsid w:val="003C1E48"/>
    <w:rsid w:val="00420EED"/>
    <w:rsid w:val="004A3F14"/>
    <w:rsid w:val="00635229"/>
    <w:rsid w:val="006D132A"/>
    <w:rsid w:val="007B491E"/>
    <w:rsid w:val="008B02FB"/>
    <w:rsid w:val="00AC6B53"/>
    <w:rsid w:val="00AE3D00"/>
    <w:rsid w:val="00C74D12"/>
    <w:rsid w:val="00C97481"/>
    <w:rsid w:val="00CD4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79B22"/>
  <w15:docId w15:val="{58D1E783-A755-4F73-986E-287343B0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100" w:after="100"/>
    </w:p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BalloonText">
    <w:name w:val="Balloon Text"/>
    <w:basedOn w:val="Normal"/>
    <w:link w:val="BalloonTextChar"/>
    <w:uiPriority w:val="99"/>
    <w:semiHidden/>
    <w:unhideWhenUsed/>
    <w:rsid w:val="00CD4635"/>
    <w:rPr>
      <w:rFonts w:ascii="Lucida Grande" w:hAnsi="Lucida Grande"/>
      <w:sz w:val="18"/>
      <w:szCs w:val="18"/>
    </w:rPr>
  </w:style>
  <w:style w:type="character" w:customStyle="1" w:styleId="BalloonTextChar">
    <w:name w:val="Balloon Text Char"/>
    <w:basedOn w:val="DefaultParagraphFont"/>
    <w:link w:val="BalloonText"/>
    <w:uiPriority w:val="99"/>
    <w:semiHidden/>
    <w:rsid w:val="00CD4635"/>
    <w:rPr>
      <w:rFonts w:ascii="Lucida Grande" w:hAnsi="Lucida Grande"/>
      <w:sz w:val="18"/>
      <w:szCs w:val="18"/>
    </w:rPr>
  </w:style>
  <w:style w:type="paragraph" w:styleId="ListParagraph">
    <w:name w:val="List Paragraph"/>
    <w:basedOn w:val="Normal"/>
    <w:uiPriority w:val="34"/>
    <w:qFormat/>
    <w:rsid w:val="00C97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8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Chi</dc:creator>
  <cp:lastModifiedBy>Mat</cp:lastModifiedBy>
  <cp:revision>3</cp:revision>
  <dcterms:created xsi:type="dcterms:W3CDTF">2017-02-02T19:07:00Z</dcterms:created>
  <dcterms:modified xsi:type="dcterms:W3CDTF">2017-02-10T22:06:00Z</dcterms:modified>
</cp:coreProperties>
</file>